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120015</wp:posOffset>
            </wp:positionV>
            <wp:extent cx="2048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190500</wp:posOffset>
            </wp:positionV>
            <wp:extent cx="20485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167640</wp:posOffset>
            </wp:positionV>
            <wp:extent cx="2048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Carlyle Secured Lending,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158750</wp:posOffset>
            </wp:positionV>
            <wp:extent cx="2048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420" w:type="dxa"/>
        <w:tblCellMar>
          <w:top w:w="0" w:type="dxa"/>
          <w:left w:w="0" w:type="dxa"/>
          <w:bottom w:w="0" w:type="dxa"/>
          <w:right w:w="0" w:type="dxa"/>
        </w:tblCellMar>
      </w:tblPr>
      <w:tr>
        <w:trPr>
          <w:trHeight w:val="227"/>
        </w:trPr>
        <w:tc>
          <w:tcPr>
            <w:tcW w:w="366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814-00995</w:t>
            </w:r>
          </w:p>
        </w:tc>
        <w:tc>
          <w:tcPr>
            <w:tcW w:w="22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80-0789789</w:t>
            </w:r>
          </w:p>
        </w:tc>
      </w:tr>
      <w:tr>
        <w:trPr>
          <w:trHeight w:val="148"/>
        </w:trPr>
        <w:tc>
          <w:tcPr>
            <w:tcW w:w="3660" w:type="dxa"/>
            <w:vAlign w:val="bottom"/>
          </w:tcPr>
          <w:p>
            <w:pPr>
              <w:jc w:val="center"/>
              <w:ind w:right="18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9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200" w:type="dxa"/>
            <w:vAlign w:val="bottom"/>
          </w:tcPr>
          <w:p>
            <w:pPr>
              <w:jc w:val="center"/>
              <w:ind w:left="9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00" w:type="dxa"/>
            <w:vAlign w:val="bottom"/>
          </w:tcPr>
          <w:p>
            <w:pPr>
              <w:jc w:val="center"/>
              <w:ind w:left="10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5620" w:type="dxa"/>
            <w:vAlign w:val="bottom"/>
            <w:gridSpan w:val="2"/>
          </w:tcPr>
          <w:p>
            <w:pPr>
              <w:jc w:val="center"/>
              <w:ind w:right="762"/>
              <w:spacing w:after="0"/>
              <w:rPr>
                <w:sz w:val="20"/>
                <w:szCs w:val="20"/>
                <w:color w:val="auto"/>
              </w:rPr>
            </w:pPr>
            <w:r>
              <w:rPr>
                <w:rFonts w:ascii="Times New Roman" w:cs="Times New Roman" w:eastAsia="Times New Roman" w:hAnsi="Times New Roman"/>
                <w:sz w:val="18"/>
                <w:szCs w:val="18"/>
                <w:b w:val="1"/>
                <w:bCs w:val="1"/>
                <w:color w:val="auto"/>
                <w:w w:val="99"/>
              </w:rPr>
              <w:t>One Vanderbilt Avenue, Suite 3400</w:t>
            </w:r>
          </w:p>
        </w:tc>
        <w:tc>
          <w:tcPr>
            <w:tcW w:w="2200" w:type="dxa"/>
            <w:vAlign w:val="bottom"/>
          </w:tcPr>
          <w:p>
            <w:pPr>
              <w:spacing w:after="0"/>
              <w:rPr>
                <w:sz w:val="24"/>
                <w:szCs w:val="24"/>
                <w:color w:val="auto"/>
              </w:rPr>
            </w:pPr>
          </w:p>
        </w:tc>
      </w:tr>
      <w:tr>
        <w:trPr>
          <w:trHeight w:val="227"/>
        </w:trPr>
        <w:tc>
          <w:tcPr>
            <w:tcW w:w="366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New York New York</w:t>
            </w:r>
          </w:p>
        </w:tc>
        <w:tc>
          <w:tcPr>
            <w:tcW w:w="1960" w:type="dxa"/>
            <w:vAlign w:val="bottom"/>
          </w:tcPr>
          <w:p>
            <w:pPr>
              <w:spacing w:after="0"/>
              <w:rPr>
                <w:sz w:val="19"/>
                <w:szCs w:val="19"/>
                <w:color w:val="auto"/>
              </w:rPr>
            </w:pPr>
          </w:p>
        </w:tc>
        <w:tc>
          <w:tcPr>
            <w:tcW w:w="22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90"/>
        </w:trPr>
        <w:tc>
          <w:tcPr>
            <w:tcW w:w="3660" w:type="dxa"/>
            <w:vAlign w:val="bottom"/>
          </w:tcPr>
          <w:p>
            <w:pPr>
              <w:jc w:val="center"/>
              <w:ind w:left="10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60" w:type="dxa"/>
            <w:vAlign w:val="bottom"/>
          </w:tcPr>
          <w:p>
            <w:pPr>
              <w:spacing w:after="0"/>
              <w:rPr>
                <w:sz w:val="16"/>
                <w:szCs w:val="16"/>
                <w:color w:val="auto"/>
              </w:rPr>
            </w:pPr>
          </w:p>
        </w:tc>
        <w:tc>
          <w:tcPr>
            <w:tcW w:w="2200" w:type="dxa"/>
            <w:vAlign w:val="bottom"/>
          </w:tcPr>
          <w:p>
            <w:pPr>
              <w:jc w:val="center"/>
              <w:ind w:left="9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813-4900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9"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3940" w:type="dxa"/>
            <w:vAlign w:val="bottom"/>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182"/>
        </w:trPr>
        <w:tc>
          <w:tcPr>
            <w:tcW w:w="394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Common Stock</w:t>
            </w:r>
          </w:p>
        </w:tc>
        <w:tc>
          <w:tcPr>
            <w:tcW w:w="296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CGBD</w:t>
            </w:r>
          </w:p>
        </w:tc>
        <w:tc>
          <w:tcPr>
            <w:tcW w:w="43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203"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ind w:left="52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6" w:lineRule="exact"/>
        <w:rPr>
          <w:sz w:val="24"/>
          <w:szCs w:val="24"/>
          <w:color w:val="auto"/>
        </w:rPr>
      </w:pPr>
    </w:p>
    <w:p>
      <w:pPr>
        <w:ind w:right="56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926465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73660</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99060</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20"/>
          </w:cols>
          <w:pgMar w:left="320" w:top="118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On April 15, 2026, Carlyle Secured Lending, Inc. (the “Company”) issued a press release announcing that it will host a conference call at 12:00 p.m. (Eastern Time) on Monday, May 11, 2026 to announce its financial results for the first quarter ended March 31, 2026. A copy of the press release is attached hereto as Exhibit 99.1.</w:t>
      </w:r>
    </w:p>
    <w:p>
      <w:pPr>
        <w:spacing w:after="0" w:line="6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Securities Exchange Act of 1934, and shall not be deemed incorporated by reference into any filing made under the Securities Act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5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60" w:type="dxa"/>
            <w:vAlign w:val="bottom"/>
          </w:tcPr>
          <w:p>
            <w:pPr>
              <w:spacing w:after="0"/>
              <w:rPr>
                <w:sz w:val="20"/>
                <w:szCs w:val="20"/>
                <w:color w:val="auto"/>
              </w:rPr>
            </w:pPr>
          </w:p>
        </w:tc>
      </w:tr>
      <w:tr>
        <w:trPr>
          <w:trHeight w:val="277"/>
        </w:trPr>
        <w:tc>
          <w:tcPr>
            <w:tcW w:w="18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April 15, 2026</w:t>
            </w:r>
          </w:p>
        </w:tc>
      </w:tr>
      <w:tr>
        <w:trPr>
          <w:trHeight w:val="20"/>
        </w:trPr>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r>
      <w:tr>
        <w:trPr>
          <w:trHeight w:val="250"/>
        </w:trPr>
        <w:tc>
          <w:tcPr>
            <w:tcW w:w="18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2"/>
        </w:trPr>
        <w:tc>
          <w:tcPr>
            <w:tcW w:w="1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1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CARLYLE SECURED LENDING, INC.</w:t>
            </w:r>
          </w:p>
        </w:tc>
      </w:tr>
      <w:tr>
        <w:trPr>
          <w:trHeight w:val="234"/>
        </w:trPr>
        <w:tc>
          <w:tcPr>
            <w:tcW w:w="3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(Registrant)</w:t>
            </w:r>
          </w:p>
        </w:tc>
      </w:tr>
      <w:tr>
        <w:trPr>
          <w:trHeight w:val="39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15, 2026</w:t>
            </w:r>
          </w:p>
        </w:tc>
        <w:tc>
          <w:tcPr>
            <w:tcW w:w="2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M. Hennigan</w:t>
            </w:r>
          </w:p>
        </w:tc>
      </w:tr>
      <w:tr>
        <w:trPr>
          <w:trHeight w:val="218"/>
        </w:trPr>
        <w:tc>
          <w:tcPr>
            <w:tcW w:w="3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Thomas M. Hennigan</w:t>
            </w:r>
          </w:p>
        </w:tc>
      </w:tr>
      <w:tr>
        <w:trPr>
          <w:trHeight w:val="234"/>
        </w:trPr>
        <w:tc>
          <w:tcPr>
            <w:tcW w:w="3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0340"/>
          </w:cols>
          <w:pgMar w:left="320" w:top="1373"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676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April 15, 2026</w:t>
      </w:r>
    </w:p>
    <w:p>
      <w:pPr>
        <w:spacing w:after="0" w:line="203"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0"/>
          <w:szCs w:val="20"/>
          <w:b w:val="1"/>
          <w:bCs w:val="1"/>
          <w:color w:val="auto"/>
        </w:rPr>
        <w:t>Carlyle Secured Lending, Inc. Schedules Earnings Release and Quarterly Earnings Call to Discuss its Financial Results for the First Quarter Ended March 31, 2026</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w:t>
      </w:r>
      <w:r>
        <w:rPr>
          <w:rFonts w:ascii="Times New Roman" w:cs="Times New Roman" w:eastAsia="Times New Roman" w:hAnsi="Times New Roman"/>
          <w:sz w:val="18"/>
          <w:szCs w:val="18"/>
          <w:color w:val="auto"/>
        </w:rPr>
        <w:t>– Carlyle Secured Lending, Inc. (“Carlyle Secured Lending”) (NASDAQ: CGBD) will host a conference call at 12:00 p.m. (Eastern Time)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Monday, May 11, 2026 to announce its financial results for the first quarter ended March 31, 2026. The Company will report its quarterly financial results on Monday, May 11, 2026.</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conference call will be available via public webcast via a link on Carlyle Secured Lending’s website at carlylesecuredlending.com and will also be available on the website soon after the call’s completion.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Carlyle Secured Lending,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Carlyle Secured Lending, Inc. is a publicly traded (NASDAQ: CGBD) business development company (“BDC”) which began investing in 2013. The Company focuses on providing directly originated, financing solutions across the capital structure, with a focus on senior secured lending to middle-market companies primarily located in the United States. Carlyle Secured Lending is externally managed by Carlyle Global Credit Investment Management L.L.C., an SEC-registered investment adviser and wholly owned subsidiary of Carlyle.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 </w:t>
      </w:r>
      <w:r>
        <w:rPr>
          <w:rFonts w:ascii="Times New Roman" w:cs="Times New Roman" w:eastAsia="Times New Roman" w:hAnsi="Times New Roman"/>
          <w:sz w:val="18"/>
          <w:szCs w:val="18"/>
          <w:color w:val="0069AE"/>
        </w:rPr>
        <w:t>carlylesecuredlending.com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Carlyle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Carlyle (“Carlyle,” or the “Adviser”) (NASDAQ: CG) is a global investment firm with deep industry expertise that deploys private capital across three business segments: Global Private Equity, Global Credit and Carlyle AlpInvest. With $477 billion of assets under management as of December 31, 2025, Carlyle’s purpose is to invest wisely and create value on behalf of its investors, portfolio companies and the communities in which we live and invest. Carlyle employs more than 2,500 people in 27 offices across four continents. Further information is available at www.carlyle.com. Follow Carlyle on X @OneCarlyle and LinkedIn at The Carlyle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240"/>
          </w:cols>
          <w:pgMar w:left="320" w:top="1062" w:right="339" w:bottom="1440" w:gutter="0" w:footer="0" w:header="0"/>
        </w:sectPr>
      </w:pPr>
    </w:p>
    <w:p>
      <w:pPr>
        <w:spacing w:after="0" w:line="2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323232"/>
        </w:rPr>
        <w:t>Investors: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23232"/>
        </w:rPr>
        <w:t>Media:</w:t>
      </w:r>
    </w:p>
    <w:p>
      <w:pPr>
        <w:spacing w:after="0" w:line="146" w:lineRule="exact"/>
        <w:rPr>
          <w:sz w:val="20"/>
          <w:szCs w:val="20"/>
          <w:color w:val="auto"/>
        </w:rPr>
      </w:pPr>
    </w:p>
    <w:p>
      <w:pPr>
        <w:sectPr>
          <w:pgSz w:w="11900" w:h="16838" w:orient="portrait"/>
          <w:cols w:equalWidth="0" w:num="2">
            <w:col w:w="4740" w:space="720"/>
            <w:col w:w="5780"/>
          </w:cols>
          <w:pgMar w:left="320" w:top="1062" w:right="339" w:bottom="1440" w:gutter="0" w:footer="0" w:header="0"/>
          <w:type w:val="continuous"/>
        </w:sectPr>
      </w:pP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Nishil Mehta</w:t>
      </w:r>
    </w:p>
    <w:p>
      <w:pPr>
        <w:spacing w:after="0" w:line="20" w:lineRule="exact"/>
        <w:rPr>
          <w:sz w:val="20"/>
          <w:szCs w:val="20"/>
          <w:color w:val="auto"/>
        </w:rPr>
      </w:pPr>
      <w:r>
        <w:rPr>
          <w:sz w:val="20"/>
          <w:szCs w:val="20"/>
          <w:color w:val="auto"/>
        </w:rPr>
        <w:br w:type="column"/>
      </w:r>
    </w:p>
    <w:p>
      <w:pPr>
        <w:jc w:val="center"/>
        <w:ind w:right="4740"/>
        <w:spacing w:after="0"/>
        <w:rPr>
          <w:sz w:val="20"/>
          <w:szCs w:val="20"/>
          <w:color w:val="auto"/>
        </w:rPr>
      </w:pPr>
      <w:r>
        <w:rPr>
          <w:rFonts w:ascii="Times New Roman" w:cs="Times New Roman" w:eastAsia="Times New Roman" w:hAnsi="Times New Roman"/>
          <w:sz w:val="17"/>
          <w:szCs w:val="17"/>
          <w:color w:val="auto"/>
        </w:rPr>
        <w:t>Kristen Ashton</w:t>
      </w:r>
    </w:p>
    <w:p>
      <w:pPr>
        <w:spacing w:after="0" w:line="102" w:lineRule="exact"/>
        <w:rPr>
          <w:sz w:val="20"/>
          <w:szCs w:val="20"/>
          <w:color w:val="auto"/>
        </w:rPr>
      </w:pPr>
    </w:p>
    <w:p>
      <w:pPr>
        <w:sectPr>
          <w:pgSz w:w="11900" w:h="16838" w:orient="portrait"/>
          <w:cols w:equalWidth="0" w:num="2">
            <w:col w:w="4700" w:space="720"/>
            <w:col w:w="5820"/>
          </w:cols>
          <w:pgMar w:left="320" w:top="1062"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color w:val="auto"/>
        </w:rPr>
        <w:t>+1-212-813-4918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+1-212-813-4763</w:t>
      </w:r>
    </w:p>
    <w:p>
      <w:pPr>
        <w:spacing w:after="0" w:line="101" w:lineRule="exact"/>
        <w:rPr>
          <w:sz w:val="20"/>
          <w:szCs w:val="20"/>
          <w:color w:val="auto"/>
        </w:rPr>
      </w:pPr>
    </w:p>
    <w:p>
      <w:pPr>
        <w:sectPr>
          <w:pgSz w:w="11900" w:h="16838" w:orient="portrait"/>
          <w:cols w:equalWidth="0" w:num="2">
            <w:col w:w="4700" w:space="720"/>
            <w:col w:w="5820"/>
          </w:cols>
          <w:pgMar w:left="320" w:top="1062" w:right="339" w:bottom="1440" w:gutter="0" w:footer="0" w:header="0"/>
          <w:type w:val="continuous"/>
        </w:sectPr>
      </w:pP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publicinvestor@carlylesecuredlending.com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kristen.ashton@carlyle.com</w:t>
      </w:r>
    </w:p>
    <w:sectPr>
      <w:pgSz w:w="11900" w:h="16838" w:orient="portrait"/>
      <w:cols w:equalWidth="0" w:num="2">
        <w:col w:w="4740" w:space="720"/>
        <w:col w:w="5780"/>
      </w:cols>
      <w:pgMar w:left="320" w:top="106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2026-04-15T15:09:22Z</dcterms:created>
  <dcterms:modified xsi:type="dcterms:W3CDTF">2026-04-15T15:09:22Z</dcterms:modified>
</cp:coreProperties>
</file>